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9614F" w14:textId="77777777" w:rsidR="004B6DAA" w:rsidRDefault="004C5492">
      <w:pPr>
        <w:spacing w:before="77"/>
        <w:ind w:left="220"/>
        <w:rPr>
          <w:b/>
          <w:sz w:val="24"/>
        </w:rPr>
      </w:pPr>
      <w:r>
        <w:rPr>
          <w:b/>
          <w:sz w:val="24"/>
        </w:rPr>
        <w:t>REVISED FEI Fees for 2019</w:t>
      </w:r>
    </w:p>
    <w:p w14:paraId="7A36F1BB" w14:textId="77777777" w:rsidR="004B6DAA" w:rsidRDefault="004B6DAA">
      <w:pPr>
        <w:pStyle w:val="BodyText"/>
        <w:rPr>
          <w:b/>
          <w:sz w:val="26"/>
        </w:rPr>
      </w:pPr>
    </w:p>
    <w:p w14:paraId="28E49190" w14:textId="77777777" w:rsidR="004B6DAA" w:rsidRDefault="004C5492">
      <w:pPr>
        <w:pStyle w:val="BodyText"/>
        <w:spacing w:before="210"/>
        <w:ind w:left="220" w:right="117"/>
        <w:jc w:val="both"/>
      </w:pPr>
      <w:r>
        <w:t>It has come to our attention that GST has negative cash flow implications on the Organising Committees (OCs) of FEI events, in particular, those OCs who are not registered for GST and cannot claim the GST back from ATO.</w:t>
      </w:r>
    </w:p>
    <w:p w14:paraId="63B11A40" w14:textId="77777777" w:rsidR="004B6DAA" w:rsidRDefault="004B6DAA">
      <w:pPr>
        <w:pStyle w:val="BodyText"/>
        <w:spacing w:before="10"/>
        <w:rPr>
          <w:sz w:val="21"/>
        </w:rPr>
      </w:pPr>
    </w:p>
    <w:p w14:paraId="1C48FA65" w14:textId="77777777" w:rsidR="004B6DAA" w:rsidRDefault="004C5492">
      <w:pPr>
        <w:pStyle w:val="BodyText"/>
        <w:ind w:left="220" w:right="125"/>
        <w:jc w:val="both"/>
      </w:pPr>
      <w:r>
        <w:t>To make the invoicing of FEI events simpler, Equestrian Australia (EA) has revised its FEI schedule of fees for 2019 calendar year.</w:t>
      </w:r>
    </w:p>
    <w:p w14:paraId="36BAB2CF" w14:textId="77777777" w:rsidR="004B6DAA" w:rsidRDefault="004B6DAA">
      <w:pPr>
        <w:pStyle w:val="BodyText"/>
        <w:spacing w:before="1"/>
      </w:pPr>
    </w:p>
    <w:p w14:paraId="336A78EE" w14:textId="77777777" w:rsidR="004B6DAA" w:rsidRDefault="004C5492">
      <w:pPr>
        <w:pStyle w:val="BodyText"/>
        <w:spacing w:before="1"/>
        <w:ind w:left="220" w:right="123"/>
        <w:jc w:val="both"/>
      </w:pPr>
      <w:r>
        <w:t>The table below shows the FEI charges in Swiss Francs (CHF) currency. EA will convert the CHF currency to AUD on the date the FEI invoice is received by EA office.</w:t>
      </w:r>
    </w:p>
    <w:p w14:paraId="16AE121D" w14:textId="77777777" w:rsidR="004B6DAA" w:rsidRDefault="004B6DAA">
      <w:pPr>
        <w:pStyle w:val="BodyText"/>
        <w:spacing w:before="10"/>
        <w:rPr>
          <w:sz w:val="21"/>
        </w:rPr>
      </w:pPr>
    </w:p>
    <w:p w14:paraId="2EF9993C" w14:textId="77777777" w:rsidR="004B6DAA" w:rsidRDefault="004C5492">
      <w:pPr>
        <w:pStyle w:val="BodyText"/>
        <w:spacing w:before="1"/>
        <w:ind w:left="220"/>
      </w:pPr>
      <w:r>
        <w:t>No GST will be applied to FEI charges.</w:t>
      </w:r>
    </w:p>
    <w:p w14:paraId="38785D34" w14:textId="77777777" w:rsidR="004B6DAA" w:rsidRDefault="004B6DAA">
      <w:pPr>
        <w:pStyle w:val="BodyText"/>
      </w:pPr>
    </w:p>
    <w:p w14:paraId="7C9C5586" w14:textId="77777777" w:rsidR="004B6DAA" w:rsidRDefault="004C5492">
      <w:pPr>
        <w:pStyle w:val="BodyText"/>
        <w:ind w:left="220" w:right="113"/>
        <w:jc w:val="both"/>
      </w:pPr>
      <w:r>
        <w:t>In addition to this, EA will charge an Administration fees of $220 (GST Inclusive) per event for administering the FEI events. This administration fees will be added to the Calendar Fees (only) as a separate line</w:t>
      </w:r>
      <w:r>
        <w:rPr>
          <w:spacing w:val="-4"/>
        </w:rPr>
        <w:t xml:space="preserve"> </w:t>
      </w:r>
      <w:r>
        <w:t>item.</w:t>
      </w:r>
    </w:p>
    <w:p w14:paraId="1489FA61" w14:textId="77777777" w:rsidR="004B6DAA" w:rsidRDefault="004B6DAA">
      <w:pPr>
        <w:pStyle w:val="BodyText"/>
        <w:spacing w:before="10"/>
        <w:rPr>
          <w:sz w:val="21"/>
        </w:rPr>
      </w:pPr>
    </w:p>
    <w:p w14:paraId="0C572918" w14:textId="77777777" w:rsidR="004B6DAA" w:rsidRDefault="004C5492">
      <w:pPr>
        <w:pStyle w:val="BodyText"/>
        <w:spacing w:before="1"/>
        <w:ind w:left="220" w:right="120"/>
        <w:jc w:val="both"/>
      </w:pPr>
      <w:r>
        <w:t>If the Organising Committee wishes to pay the FEI directly, they would still need to pay the Administration fees of $220 to EA.</w:t>
      </w:r>
    </w:p>
    <w:p w14:paraId="06D026A2" w14:textId="77777777" w:rsidR="004B6DAA" w:rsidRDefault="004B6DAA">
      <w:pPr>
        <w:pStyle w:val="BodyText"/>
        <w:spacing w:before="4"/>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1843"/>
        <w:gridCol w:w="1822"/>
      </w:tblGrid>
      <w:tr w:rsidR="004B6DAA" w14:paraId="3CC0F77E" w14:textId="77777777">
        <w:trPr>
          <w:trHeight w:val="299"/>
        </w:trPr>
        <w:tc>
          <w:tcPr>
            <w:tcW w:w="4815" w:type="dxa"/>
            <w:tcBorders>
              <w:left w:val="single" w:sz="6" w:space="0" w:color="000000"/>
            </w:tcBorders>
          </w:tcPr>
          <w:p w14:paraId="7A66CF11" w14:textId="77777777" w:rsidR="004B6DAA" w:rsidRDefault="004C5492">
            <w:pPr>
              <w:pStyle w:val="TableParagraph"/>
              <w:spacing w:before="40" w:line="239" w:lineRule="exact"/>
              <w:jc w:val="left"/>
              <w:rPr>
                <w:b/>
              </w:rPr>
            </w:pPr>
            <w:r>
              <w:rPr>
                <w:b/>
              </w:rPr>
              <w:t>REVISED FEI Fees 2019</w:t>
            </w:r>
          </w:p>
        </w:tc>
        <w:tc>
          <w:tcPr>
            <w:tcW w:w="1843" w:type="dxa"/>
          </w:tcPr>
          <w:p w14:paraId="5522C48C" w14:textId="77777777" w:rsidR="004B6DAA" w:rsidRDefault="004C5492">
            <w:pPr>
              <w:pStyle w:val="TableParagraph"/>
              <w:spacing w:before="40" w:line="239" w:lineRule="exact"/>
              <w:ind w:left="270" w:right="263"/>
              <w:rPr>
                <w:b/>
              </w:rPr>
            </w:pPr>
            <w:r>
              <w:rPr>
                <w:b/>
              </w:rPr>
              <w:t>1*/2* Events</w:t>
            </w:r>
          </w:p>
        </w:tc>
        <w:tc>
          <w:tcPr>
            <w:tcW w:w="1822" w:type="dxa"/>
          </w:tcPr>
          <w:p w14:paraId="31DB14FD" w14:textId="77777777" w:rsidR="004B6DAA" w:rsidRDefault="004C5492">
            <w:pPr>
              <w:pStyle w:val="TableParagraph"/>
              <w:spacing w:before="40" w:line="239" w:lineRule="exact"/>
              <w:ind w:left="126" w:right="116"/>
              <w:rPr>
                <w:b/>
              </w:rPr>
            </w:pPr>
            <w:r>
              <w:rPr>
                <w:b/>
              </w:rPr>
              <w:t>3*/4*/5* Events</w:t>
            </w:r>
          </w:p>
        </w:tc>
      </w:tr>
      <w:tr w:rsidR="004B6DAA" w14:paraId="1DB35361" w14:textId="77777777">
        <w:trPr>
          <w:trHeight w:val="299"/>
        </w:trPr>
        <w:tc>
          <w:tcPr>
            <w:tcW w:w="4815" w:type="dxa"/>
            <w:tcBorders>
              <w:left w:val="single" w:sz="6" w:space="0" w:color="000000"/>
            </w:tcBorders>
          </w:tcPr>
          <w:p w14:paraId="51E35E7C" w14:textId="77777777" w:rsidR="004B6DAA" w:rsidRDefault="004B6DAA">
            <w:pPr>
              <w:pStyle w:val="TableParagraph"/>
              <w:spacing w:before="0" w:line="240" w:lineRule="auto"/>
              <w:ind w:left="0"/>
              <w:jc w:val="left"/>
              <w:rPr>
                <w:rFonts w:ascii="Times New Roman"/>
              </w:rPr>
            </w:pPr>
          </w:p>
        </w:tc>
        <w:tc>
          <w:tcPr>
            <w:tcW w:w="1843" w:type="dxa"/>
          </w:tcPr>
          <w:p w14:paraId="1AACA05A" w14:textId="77777777" w:rsidR="004B6DAA" w:rsidRDefault="004C5492">
            <w:pPr>
              <w:pStyle w:val="TableParagraph"/>
              <w:spacing w:before="40" w:line="239" w:lineRule="exact"/>
              <w:ind w:left="270" w:right="260"/>
              <w:rPr>
                <w:b/>
              </w:rPr>
            </w:pPr>
            <w:r>
              <w:rPr>
                <w:b/>
              </w:rPr>
              <w:t>CHF</w:t>
            </w:r>
          </w:p>
        </w:tc>
        <w:tc>
          <w:tcPr>
            <w:tcW w:w="1822" w:type="dxa"/>
          </w:tcPr>
          <w:p w14:paraId="6B906659" w14:textId="77777777" w:rsidR="004B6DAA" w:rsidRDefault="004C5492">
            <w:pPr>
              <w:pStyle w:val="TableParagraph"/>
              <w:spacing w:before="40" w:line="239" w:lineRule="exact"/>
              <w:ind w:left="124" w:right="116"/>
              <w:rPr>
                <w:b/>
              </w:rPr>
            </w:pPr>
            <w:r>
              <w:rPr>
                <w:b/>
              </w:rPr>
              <w:t>CHF</w:t>
            </w:r>
          </w:p>
        </w:tc>
      </w:tr>
      <w:tr w:rsidR="004B6DAA" w14:paraId="53947A73" w14:textId="77777777">
        <w:trPr>
          <w:trHeight w:val="299"/>
        </w:trPr>
        <w:tc>
          <w:tcPr>
            <w:tcW w:w="4815" w:type="dxa"/>
            <w:tcBorders>
              <w:left w:val="single" w:sz="6" w:space="0" w:color="000000"/>
            </w:tcBorders>
          </w:tcPr>
          <w:p w14:paraId="03926B36" w14:textId="77777777" w:rsidR="004B6DAA" w:rsidRDefault="004C5492">
            <w:pPr>
              <w:pStyle w:val="TableParagraph"/>
              <w:jc w:val="left"/>
            </w:pPr>
            <w:r>
              <w:t>FEI Calendar Fees</w:t>
            </w:r>
          </w:p>
        </w:tc>
        <w:tc>
          <w:tcPr>
            <w:tcW w:w="1843" w:type="dxa"/>
          </w:tcPr>
          <w:p w14:paraId="2327A839" w14:textId="77777777" w:rsidR="004B6DAA" w:rsidRDefault="004C5492">
            <w:pPr>
              <w:pStyle w:val="TableParagraph"/>
              <w:ind w:left="270" w:right="261"/>
            </w:pPr>
            <w:r>
              <w:t>300</w:t>
            </w:r>
          </w:p>
        </w:tc>
        <w:tc>
          <w:tcPr>
            <w:tcW w:w="1822" w:type="dxa"/>
          </w:tcPr>
          <w:p w14:paraId="436D4FA0" w14:textId="77777777" w:rsidR="004B6DAA" w:rsidRDefault="004C5492">
            <w:pPr>
              <w:pStyle w:val="TableParagraph"/>
              <w:ind w:left="126" w:right="115"/>
            </w:pPr>
            <w:r>
              <w:t>500</w:t>
            </w:r>
          </w:p>
        </w:tc>
      </w:tr>
      <w:tr w:rsidR="004B6DAA" w14:paraId="4E5777BB" w14:textId="77777777">
        <w:trPr>
          <w:trHeight w:val="299"/>
        </w:trPr>
        <w:tc>
          <w:tcPr>
            <w:tcW w:w="4815" w:type="dxa"/>
            <w:tcBorders>
              <w:left w:val="single" w:sz="6" w:space="0" w:color="000000"/>
            </w:tcBorders>
          </w:tcPr>
          <w:p w14:paraId="022A7901" w14:textId="77777777" w:rsidR="004B6DAA" w:rsidRDefault="004C5492">
            <w:pPr>
              <w:pStyle w:val="TableParagraph"/>
              <w:jc w:val="left"/>
            </w:pPr>
            <w:r>
              <w:t>FEI Organising Dues</w:t>
            </w:r>
          </w:p>
        </w:tc>
        <w:tc>
          <w:tcPr>
            <w:tcW w:w="1843" w:type="dxa"/>
          </w:tcPr>
          <w:p w14:paraId="3270CC11" w14:textId="77777777" w:rsidR="004B6DAA" w:rsidRDefault="004C5492">
            <w:pPr>
              <w:pStyle w:val="TableParagraph"/>
              <w:ind w:left="270" w:right="261"/>
            </w:pPr>
            <w:r>
              <w:t>500</w:t>
            </w:r>
          </w:p>
        </w:tc>
        <w:tc>
          <w:tcPr>
            <w:tcW w:w="1822" w:type="dxa"/>
          </w:tcPr>
          <w:p w14:paraId="2C518491" w14:textId="77777777" w:rsidR="004B6DAA" w:rsidRDefault="004C5492">
            <w:pPr>
              <w:pStyle w:val="TableParagraph"/>
              <w:ind w:left="126" w:right="115"/>
            </w:pPr>
            <w:r>
              <w:t>500</w:t>
            </w:r>
          </w:p>
        </w:tc>
      </w:tr>
      <w:tr w:rsidR="004B6DAA" w14:paraId="337B6BCF" w14:textId="77777777">
        <w:trPr>
          <w:trHeight w:val="299"/>
        </w:trPr>
        <w:tc>
          <w:tcPr>
            <w:tcW w:w="4815" w:type="dxa"/>
            <w:tcBorders>
              <w:left w:val="single" w:sz="6" w:space="0" w:color="000000"/>
            </w:tcBorders>
          </w:tcPr>
          <w:p w14:paraId="0C991E99" w14:textId="77777777" w:rsidR="004B6DAA" w:rsidRDefault="004C5492">
            <w:pPr>
              <w:pStyle w:val="TableParagraph"/>
              <w:jc w:val="left"/>
            </w:pPr>
            <w:r>
              <w:t>Technical Delegate for Eventing 3* plus only</w:t>
            </w:r>
          </w:p>
        </w:tc>
        <w:tc>
          <w:tcPr>
            <w:tcW w:w="1843" w:type="dxa"/>
          </w:tcPr>
          <w:p w14:paraId="69378901" w14:textId="77777777" w:rsidR="004B6DAA" w:rsidRDefault="004C5492">
            <w:pPr>
              <w:pStyle w:val="TableParagraph"/>
              <w:ind w:left="9"/>
            </w:pPr>
            <w:r>
              <w:t>0</w:t>
            </w:r>
          </w:p>
        </w:tc>
        <w:tc>
          <w:tcPr>
            <w:tcW w:w="1822" w:type="dxa"/>
          </w:tcPr>
          <w:p w14:paraId="128FD8C3" w14:textId="77777777" w:rsidR="004B6DAA" w:rsidRDefault="004C5492">
            <w:pPr>
              <w:pStyle w:val="TableParagraph"/>
              <w:ind w:left="124" w:right="116"/>
            </w:pPr>
            <w:r>
              <w:t>1500</w:t>
            </w:r>
          </w:p>
        </w:tc>
      </w:tr>
      <w:tr w:rsidR="004B6DAA" w14:paraId="2EE1ECBA" w14:textId="77777777">
        <w:trPr>
          <w:trHeight w:val="302"/>
        </w:trPr>
        <w:tc>
          <w:tcPr>
            <w:tcW w:w="4815" w:type="dxa"/>
            <w:tcBorders>
              <w:left w:val="single" w:sz="6" w:space="0" w:color="000000"/>
            </w:tcBorders>
          </w:tcPr>
          <w:p w14:paraId="20E3BC2B" w14:textId="77777777" w:rsidR="004B6DAA" w:rsidRDefault="004C5492">
            <w:pPr>
              <w:pStyle w:val="TableParagraph"/>
              <w:spacing w:line="237" w:lineRule="exact"/>
              <w:jc w:val="left"/>
            </w:pPr>
            <w:r>
              <w:t>Franchise Fees</w:t>
            </w:r>
          </w:p>
        </w:tc>
        <w:tc>
          <w:tcPr>
            <w:tcW w:w="1843" w:type="dxa"/>
          </w:tcPr>
          <w:p w14:paraId="5BB67A89" w14:textId="77777777" w:rsidR="004B6DAA" w:rsidRDefault="004C5492">
            <w:pPr>
              <w:pStyle w:val="TableParagraph"/>
              <w:spacing w:line="237" w:lineRule="exact"/>
              <w:ind w:left="9"/>
            </w:pPr>
            <w:r>
              <w:t>0</w:t>
            </w:r>
          </w:p>
        </w:tc>
        <w:tc>
          <w:tcPr>
            <w:tcW w:w="1822" w:type="dxa"/>
          </w:tcPr>
          <w:p w14:paraId="0287CD76" w14:textId="77777777" w:rsidR="004B6DAA" w:rsidRDefault="004C5492">
            <w:pPr>
              <w:pStyle w:val="TableParagraph"/>
              <w:spacing w:line="237" w:lineRule="exact"/>
              <w:ind w:left="126" w:right="115"/>
            </w:pPr>
            <w:r>
              <w:t>500</w:t>
            </w:r>
          </w:p>
        </w:tc>
      </w:tr>
      <w:tr w:rsidR="004B6DAA" w14:paraId="5D2CF395" w14:textId="77777777">
        <w:trPr>
          <w:trHeight w:val="299"/>
        </w:trPr>
        <w:tc>
          <w:tcPr>
            <w:tcW w:w="4815" w:type="dxa"/>
            <w:tcBorders>
              <w:left w:val="single" w:sz="6" w:space="0" w:color="000000"/>
            </w:tcBorders>
          </w:tcPr>
          <w:p w14:paraId="2C4372A4" w14:textId="77777777" w:rsidR="004B6DAA" w:rsidRDefault="004C5492">
            <w:pPr>
              <w:pStyle w:val="TableParagraph"/>
              <w:spacing w:before="43" w:line="237" w:lineRule="exact"/>
              <w:jc w:val="left"/>
            </w:pPr>
            <w:r>
              <w:t>Late Additions to Calendar</w:t>
            </w:r>
          </w:p>
        </w:tc>
        <w:tc>
          <w:tcPr>
            <w:tcW w:w="1843" w:type="dxa"/>
          </w:tcPr>
          <w:p w14:paraId="3291CA9B" w14:textId="77777777" w:rsidR="004B6DAA" w:rsidRDefault="004C5492">
            <w:pPr>
              <w:pStyle w:val="TableParagraph"/>
              <w:spacing w:before="43" w:line="237" w:lineRule="exact"/>
              <w:ind w:left="270" w:right="261"/>
            </w:pPr>
            <w:r>
              <w:t>300</w:t>
            </w:r>
          </w:p>
        </w:tc>
        <w:tc>
          <w:tcPr>
            <w:tcW w:w="1822" w:type="dxa"/>
          </w:tcPr>
          <w:p w14:paraId="1E166BA9" w14:textId="77777777" w:rsidR="004B6DAA" w:rsidRDefault="004C5492">
            <w:pPr>
              <w:pStyle w:val="TableParagraph"/>
              <w:spacing w:before="43" w:line="237" w:lineRule="exact"/>
              <w:ind w:left="124" w:right="116"/>
            </w:pPr>
            <w:r>
              <w:t>1000</w:t>
            </w:r>
          </w:p>
        </w:tc>
      </w:tr>
      <w:tr w:rsidR="004B6DAA" w14:paraId="12D2A749" w14:textId="77777777">
        <w:trPr>
          <w:trHeight w:val="300"/>
        </w:trPr>
        <w:tc>
          <w:tcPr>
            <w:tcW w:w="4815" w:type="dxa"/>
            <w:tcBorders>
              <w:left w:val="single" w:sz="6" w:space="0" w:color="000000"/>
            </w:tcBorders>
          </w:tcPr>
          <w:p w14:paraId="20897605" w14:textId="77777777" w:rsidR="004B6DAA" w:rsidRDefault="004C5492">
            <w:pPr>
              <w:pStyle w:val="TableParagraph"/>
              <w:spacing w:before="43" w:line="237" w:lineRule="exact"/>
              <w:jc w:val="left"/>
            </w:pPr>
            <w:r>
              <w:t>Date Changes to Calendar</w:t>
            </w:r>
          </w:p>
        </w:tc>
        <w:tc>
          <w:tcPr>
            <w:tcW w:w="1843" w:type="dxa"/>
          </w:tcPr>
          <w:p w14:paraId="54815DF4" w14:textId="77777777" w:rsidR="004B6DAA" w:rsidRDefault="004C5492">
            <w:pPr>
              <w:pStyle w:val="TableParagraph"/>
              <w:spacing w:before="43" w:line="237" w:lineRule="exact"/>
              <w:ind w:left="9"/>
            </w:pPr>
            <w:r>
              <w:t>0</w:t>
            </w:r>
          </w:p>
        </w:tc>
        <w:tc>
          <w:tcPr>
            <w:tcW w:w="1822" w:type="dxa"/>
          </w:tcPr>
          <w:p w14:paraId="01FE4611" w14:textId="77777777" w:rsidR="004B6DAA" w:rsidRDefault="004C5492">
            <w:pPr>
              <w:pStyle w:val="TableParagraph"/>
              <w:spacing w:before="43" w:line="237" w:lineRule="exact"/>
              <w:ind w:left="126" w:right="115"/>
            </w:pPr>
            <w:r>
              <w:t>500</w:t>
            </w:r>
          </w:p>
        </w:tc>
      </w:tr>
    </w:tbl>
    <w:p w14:paraId="36685C56" w14:textId="77777777" w:rsidR="004B6DAA" w:rsidRDefault="004B6DAA">
      <w:pPr>
        <w:pStyle w:val="BodyText"/>
        <w:rPr>
          <w:sz w:val="24"/>
        </w:rPr>
      </w:pPr>
    </w:p>
    <w:p w14:paraId="5CAB1E4A" w14:textId="77777777" w:rsidR="004B6DAA" w:rsidRDefault="004C5492">
      <w:pPr>
        <w:pStyle w:val="BodyText"/>
        <w:spacing w:before="204"/>
        <w:ind w:left="220" w:right="114"/>
        <w:jc w:val="both"/>
      </w:pPr>
      <w:r>
        <w:t>The Equine Anti-Doping Controlled Medication (EADCMP) levy is CHF18 and CHF25 for lower level and higher level events respectively.</w:t>
      </w:r>
    </w:p>
    <w:p w14:paraId="2BB5EEED" w14:textId="5A5611FB" w:rsidR="004C5492" w:rsidRPr="004C5492" w:rsidRDefault="004C5492" w:rsidP="004C5492">
      <w:pPr>
        <w:pStyle w:val="BodyText"/>
        <w:spacing w:before="204"/>
        <w:ind w:left="220" w:right="114"/>
        <w:jc w:val="both"/>
      </w:pPr>
      <w:r w:rsidRPr="004C5492">
        <w:rPr>
          <w:b/>
        </w:rPr>
        <w:t>NOTE:</w:t>
      </w:r>
      <w:r>
        <w:t xml:space="preserve"> CSI1*-W World Cup</w:t>
      </w:r>
      <w:r>
        <w:rPr>
          <w:vertAlign w:val="superscript"/>
        </w:rPr>
        <w:t>TM</w:t>
      </w:r>
      <w:r>
        <w:t xml:space="preserve"> Jumping </w:t>
      </w:r>
      <w:r w:rsidRPr="004C5492">
        <w:rPr>
          <w:bCs/>
          <w:lang w:val="en-GB"/>
        </w:rPr>
        <w:t xml:space="preserve">is </w:t>
      </w:r>
      <w:r>
        <w:rPr>
          <w:bCs/>
          <w:lang w:val="en-GB"/>
        </w:rPr>
        <w:t xml:space="preserve">considered </w:t>
      </w:r>
      <w:r w:rsidRPr="004C5492">
        <w:rPr>
          <w:bCs/>
          <w:lang w:val="en-GB"/>
        </w:rPr>
        <w:t xml:space="preserve">a higher level event, </w:t>
      </w:r>
      <w:r>
        <w:rPr>
          <w:bCs/>
          <w:lang w:val="en-GB"/>
        </w:rPr>
        <w:t xml:space="preserve">because of its World Cup status so it attracts fees at 3*/4*/5* level. In addition, it attracts the </w:t>
      </w:r>
      <w:r>
        <w:t>World Cup</w:t>
      </w:r>
      <w:r>
        <w:rPr>
          <w:vertAlign w:val="superscript"/>
        </w:rPr>
        <w:t>TM</w:t>
      </w:r>
      <w:r>
        <w:rPr>
          <w:bCs/>
          <w:lang w:val="en-GB"/>
        </w:rPr>
        <w:t xml:space="preserve"> Franchise Fee. </w:t>
      </w:r>
    </w:p>
    <w:p w14:paraId="7D9BBF1A" w14:textId="77777777" w:rsidR="004B6DAA" w:rsidRDefault="004B6DAA">
      <w:pPr>
        <w:pStyle w:val="BodyText"/>
        <w:spacing w:before="3"/>
        <w:rPr>
          <w:sz w:val="25"/>
        </w:rPr>
      </w:pPr>
    </w:p>
    <w:p w14:paraId="5AFF53D0" w14:textId="77777777" w:rsidR="004B6DAA" w:rsidRDefault="004C5492">
      <w:pPr>
        <w:pStyle w:val="BodyText"/>
        <w:ind w:left="220"/>
        <w:jc w:val="both"/>
      </w:pPr>
      <w:r>
        <w:t>If you have any concerns regarding this please contact the EA office: (02) 8762 7705.</w:t>
      </w:r>
    </w:p>
    <w:sectPr w:rsidR="004B6DAA">
      <w:type w:val="continuous"/>
      <w:pgSz w:w="11910" w:h="16840"/>
      <w:pgMar w:top="134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B6DAA"/>
    <w:rsid w:val="000C350F"/>
    <w:rsid w:val="002B6B69"/>
    <w:rsid w:val="00316DEF"/>
    <w:rsid w:val="004B6DAA"/>
    <w:rsid w:val="004C5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C6EB"/>
  <w15:docId w15:val="{A3101562-6F89-4FA4-9CB8-DCC44166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5" w:line="234" w:lineRule="exact"/>
      <w:ind w:left="10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Sashi Lata</dc:creator>
  <cp:lastModifiedBy>Jenny Merity</cp:lastModifiedBy>
  <cp:revision>3</cp:revision>
  <cp:lastPrinted>2019-07-12T03:43:00Z</cp:lastPrinted>
  <dcterms:created xsi:type="dcterms:W3CDTF">2020-06-29T04:05:00Z</dcterms:created>
  <dcterms:modified xsi:type="dcterms:W3CDTF">2020-06-29T04:06:00Z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2010</vt:lpwstr>
  </property>
  <property fmtid="{D5CDD505-2E9C-101B-9397-08002B2CF9AE}" pid="4" name="LastSaved">
    <vt:filetime>2019-07-11T00:00:00Z</vt:filetime>
  </property>
</Properties>
</file>